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B8F" w:rsidRPr="00F6302A" w:rsidRDefault="00C74B8F" w:rsidP="00C74B8F">
      <w:pPr>
        <w:pStyle w:val="3GPPHeader"/>
        <w:spacing w:after="60"/>
        <w:rPr>
          <w:sz w:val="32"/>
          <w:szCs w:val="32"/>
          <w:highlight w:val="yellow"/>
          <w:lang w:val="en-US"/>
        </w:rPr>
      </w:pPr>
      <w:bookmarkStart w:id="0" w:name="_GoBack"/>
      <w:bookmarkEnd w:id="0"/>
      <w:r w:rsidRPr="00F6302A">
        <w:rPr>
          <w:lang w:val="en-US"/>
        </w:rPr>
        <w:t>3GPP TSG-RAN WG</w:t>
      </w:r>
      <w:r>
        <w:rPr>
          <w:lang w:val="en-US"/>
        </w:rPr>
        <w:t>4</w:t>
      </w:r>
      <w:r w:rsidRPr="00F6302A">
        <w:rPr>
          <w:lang w:val="en-US"/>
        </w:rPr>
        <w:t xml:space="preserve"> #</w:t>
      </w:r>
      <w:r>
        <w:rPr>
          <w:lang w:val="en-US"/>
        </w:rPr>
        <w:t>80bis</w:t>
      </w:r>
      <w:r w:rsidRPr="00F6302A">
        <w:rPr>
          <w:lang w:val="en-US"/>
        </w:rPr>
        <w:tab/>
      </w:r>
      <w:r>
        <w:rPr>
          <w:sz w:val="32"/>
          <w:szCs w:val="32"/>
          <w:lang w:val="en-US"/>
        </w:rPr>
        <w:t>R4</w:t>
      </w:r>
      <w:r w:rsidRPr="00F6302A">
        <w:rPr>
          <w:sz w:val="32"/>
          <w:szCs w:val="32"/>
          <w:lang w:val="en-US"/>
        </w:rPr>
        <w:t>-</w:t>
      </w:r>
      <w:r w:rsidR="00BD3785">
        <w:rPr>
          <w:sz w:val="32"/>
          <w:szCs w:val="32"/>
          <w:lang w:val="en-US"/>
        </w:rPr>
        <w:t>16</w:t>
      </w:r>
      <w:r w:rsidR="00BD3785">
        <w:rPr>
          <w:sz w:val="32"/>
          <w:szCs w:val="32"/>
          <w:lang w:val="en-US"/>
        </w:rPr>
        <w:t>8543</w:t>
      </w:r>
    </w:p>
    <w:p w:rsidR="00C74B8F" w:rsidRPr="00F6302A" w:rsidRDefault="00C74B8F" w:rsidP="00C74B8F">
      <w:pPr>
        <w:pStyle w:val="3GPPHeader"/>
        <w:rPr>
          <w:lang w:val="en-US"/>
        </w:rPr>
      </w:pPr>
      <w:r>
        <w:rPr>
          <w:lang w:val="en-US"/>
        </w:rPr>
        <w:t>Ljubljana, Slovenia, 10</w:t>
      </w:r>
      <w:r w:rsidRPr="009106CA">
        <w:rPr>
          <w:lang w:val="en-US"/>
        </w:rPr>
        <w:t xml:space="preserve">th – </w:t>
      </w:r>
      <w:r>
        <w:rPr>
          <w:lang w:val="en-US"/>
        </w:rPr>
        <w:t>14</w:t>
      </w:r>
      <w:r w:rsidRPr="009106CA">
        <w:rPr>
          <w:lang w:val="en-US"/>
        </w:rPr>
        <w:t xml:space="preserve">th </w:t>
      </w:r>
      <w:r>
        <w:rPr>
          <w:lang w:val="en-US"/>
        </w:rPr>
        <w:t>October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E90203" w:rsidRPr="00E90203">
        <w:rPr>
          <w:sz w:val="22"/>
          <w:szCs w:val="22"/>
          <w:lang w:val="en-US"/>
        </w:rPr>
        <w:t>UE RF</w:t>
      </w:r>
      <w:r w:rsidR="00E90203">
        <w:rPr>
          <w:sz w:val="22"/>
          <w:szCs w:val="22"/>
          <w:lang w:val="en-US"/>
        </w:rPr>
        <w:t xml:space="preserve"> issues related to </w:t>
      </w:r>
      <w:r w:rsidR="00253E53" w:rsidRPr="00253E53">
        <w:rPr>
          <w:sz w:val="22"/>
          <w:szCs w:val="22"/>
          <w:lang w:val="en-US"/>
        </w:rPr>
        <w:t xml:space="preserve">SRS </w:t>
      </w:r>
      <w:r w:rsidR="00253E53">
        <w:rPr>
          <w:sz w:val="22"/>
          <w:szCs w:val="22"/>
          <w:lang w:val="en-US"/>
        </w:rPr>
        <w:t xml:space="preserve">carrier based </w:t>
      </w:r>
      <w:r w:rsidR="00253E53" w:rsidRPr="00253E53">
        <w:rPr>
          <w:sz w:val="22"/>
          <w:szCs w:val="22"/>
          <w:lang w:val="en-US"/>
        </w:rPr>
        <w:t>switching</w:t>
      </w:r>
      <w:r w:rsidR="00253E53">
        <w:rPr>
          <w:sz w:val="22"/>
          <w:szCs w:val="22"/>
          <w:lang w:val="en-US"/>
        </w:rPr>
        <w:t xml:space="preserve"> for LTE</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C3909">
        <w:rPr>
          <w:sz w:val="22"/>
          <w:szCs w:val="22"/>
          <w:lang w:val="en-US"/>
        </w:rPr>
        <w:t>8</w:t>
      </w:r>
      <w:r w:rsidRPr="00787677">
        <w:rPr>
          <w:sz w:val="22"/>
          <w:szCs w:val="22"/>
          <w:lang w:val="en-US"/>
        </w:rPr>
        <w:t>.</w:t>
      </w:r>
      <w:r w:rsidR="00954152">
        <w:rPr>
          <w:sz w:val="22"/>
          <w:szCs w:val="22"/>
          <w:lang w:val="en-US"/>
        </w:rPr>
        <w:t>1</w:t>
      </w:r>
      <w:r w:rsidR="00AC3909">
        <w:rPr>
          <w:sz w:val="22"/>
          <w:szCs w:val="22"/>
          <w:lang w:val="en-US"/>
        </w:rPr>
        <w:t>5</w:t>
      </w:r>
      <w:r w:rsidR="006466D1" w:rsidRPr="00787677">
        <w:rPr>
          <w:sz w:val="22"/>
          <w:szCs w:val="22"/>
          <w:lang w:val="en-US"/>
        </w:rPr>
        <w:t>.</w:t>
      </w:r>
      <w:r w:rsidR="00AC3909">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BA24A1">
        <w:rPr>
          <w:sz w:val="22"/>
          <w:szCs w:val="22"/>
          <w:lang w:val="en-US"/>
        </w:rPr>
        <w:t>Discussion</w:t>
      </w:r>
    </w:p>
    <w:p w:rsidR="00E90E49" w:rsidRPr="00F6302A" w:rsidRDefault="00E90E49" w:rsidP="00E90E49">
      <w:pPr>
        <w:pStyle w:val="Heading1"/>
        <w:rPr>
          <w:lang w:val="en-US"/>
        </w:rPr>
      </w:pPr>
      <w:r w:rsidRPr="00F6302A">
        <w:rPr>
          <w:lang w:val="en-US"/>
        </w:rPr>
        <w:t>Introduction</w:t>
      </w:r>
      <w:r w:rsidR="001C4220">
        <w:rPr>
          <w:lang w:val="en-US"/>
        </w:rPr>
        <w:t xml:space="preserve"> </w:t>
      </w:r>
    </w:p>
    <w:p w:rsidR="00253E53" w:rsidRDefault="00EC3CD9" w:rsidP="00253E53">
      <w:pPr>
        <w:pStyle w:val="BodyText"/>
        <w:rPr>
          <w:rFonts w:cs="Arial"/>
          <w:sz w:val="22"/>
          <w:szCs w:val="22"/>
          <w:lang w:val="en-US"/>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The objectives of the core part of the WI include the following:</w:t>
      </w:r>
    </w:p>
    <w:p w:rsidR="00253E53" w:rsidRPr="00B02C00" w:rsidRDefault="00253E53" w:rsidP="00253E53">
      <w:pPr>
        <w:spacing w:line="276" w:lineRule="auto"/>
        <w:contextualSpacing/>
        <w:rPr>
          <w:i/>
          <w:lang w:eastAsia="en-GB"/>
        </w:rPr>
      </w:pPr>
      <w:bookmarkStart w:id="1" w:name="OLE_LINK7"/>
      <w:r w:rsidRPr="00B02C00">
        <w:rPr>
          <w:i/>
          <w:lang w:eastAsia="en-GB"/>
        </w:rPr>
        <w:t>The WI is to specify enhancements for networks</w:t>
      </w:r>
      <w:r w:rsidRPr="00B02C00">
        <w:rPr>
          <w:rFonts w:hint="eastAsia"/>
          <w:i/>
          <w:lang w:eastAsia="en-GB"/>
        </w:rPr>
        <w:t xml:space="preserve"> </w:t>
      </w:r>
      <w:r w:rsidRPr="00B02C00">
        <w:rPr>
          <w:i/>
          <w:lang w:eastAsia="en-GB"/>
        </w:rPr>
        <w:t>operating with CA. The objectives of the WI are:</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 xml:space="preserve">To support SRS switching to and between TDD </w:t>
      </w:r>
      <w:bookmarkStart w:id="2" w:name="OLE_LINK10"/>
      <w:r w:rsidRPr="00B02C00">
        <w:rPr>
          <w:i/>
          <w:lang w:eastAsia="en-GB"/>
        </w:rPr>
        <w:t xml:space="preserve">component </w:t>
      </w:r>
      <w:bookmarkEnd w:id="2"/>
      <w:r w:rsidRPr="00B02C00">
        <w:rPr>
          <w:i/>
          <w:lang w:eastAsia="en-GB"/>
        </w:rPr>
        <w:t xml:space="preserve">carrier(s), </w:t>
      </w:r>
      <w:r w:rsidRPr="00B02C00">
        <w:rPr>
          <w:i/>
        </w:rPr>
        <w:t>where the component carriers available for SRS transmission correspond to the component carriers available for carrier aggregation of PDSCH, while the UE has fewer component carriers available for carrier aggregation of PUSCH</w:t>
      </w:r>
      <w:r w:rsidRPr="00B02C00">
        <w:rPr>
          <w:i/>
          <w:lang w:eastAsia="en-GB"/>
        </w:rPr>
        <w:t xml:space="preserve"> [RAN1, RAN2, </w:t>
      </w:r>
      <w:r w:rsidRPr="00B02C00">
        <w:rPr>
          <w:rFonts w:hint="eastAsia"/>
          <w:i/>
          <w:lang w:eastAsia="en-GB"/>
        </w:rPr>
        <w:t>RAN4</w:t>
      </w:r>
      <w:r w:rsidRPr="00B02C00">
        <w:rPr>
          <w:i/>
          <w:lang w:eastAsia="en-GB"/>
        </w:rPr>
        <w:t>]</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C</w:t>
      </w:r>
      <w:r w:rsidRPr="00B02C00">
        <w:rPr>
          <w:rFonts w:hint="eastAsia"/>
          <w:i/>
          <w:lang w:eastAsia="en-GB"/>
        </w:rPr>
        <w:t xml:space="preserve">orresponding </w:t>
      </w:r>
      <w:r w:rsidRPr="00B02C00">
        <w:rPr>
          <w:i/>
          <w:lang w:eastAsia="en-GB"/>
        </w:rPr>
        <w:t>UE and eNB core requirements</w:t>
      </w:r>
      <w:r w:rsidRPr="00B02C00">
        <w:rPr>
          <w:rFonts w:hint="eastAsia"/>
          <w:i/>
          <w:lang w:eastAsia="en-GB"/>
        </w:rPr>
        <w:t xml:space="preserve"> </w:t>
      </w:r>
      <w:r w:rsidRPr="00B02C00">
        <w:rPr>
          <w:i/>
          <w:lang w:eastAsia="en-GB"/>
        </w:rPr>
        <w:t>[</w:t>
      </w:r>
      <w:r w:rsidRPr="00B02C00">
        <w:rPr>
          <w:rFonts w:hint="eastAsia"/>
          <w:i/>
          <w:lang w:eastAsia="en-GB"/>
        </w:rPr>
        <w:t>RAN4</w:t>
      </w:r>
      <w:r w:rsidRPr="00B02C00">
        <w:rPr>
          <w:i/>
          <w:lang w:eastAsia="en-GB"/>
        </w:rPr>
        <w:t>]</w:t>
      </w:r>
      <w:r w:rsidRPr="00B02C00">
        <w:rPr>
          <w:rFonts w:hint="eastAsia"/>
          <w:i/>
          <w:lang w:eastAsia="en-GB"/>
        </w:rPr>
        <w:t>.</w:t>
      </w:r>
    </w:p>
    <w:bookmarkEnd w:id="1"/>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based on the above objective, we describe </w:t>
      </w:r>
      <w:r w:rsidR="00F951FE">
        <w:rPr>
          <w:rFonts w:cs="Arial"/>
          <w:bCs/>
          <w:sz w:val="22"/>
          <w:szCs w:val="22"/>
        </w:rPr>
        <w:t xml:space="preserve">UE RF issues related to SRS carrier based switching. </w:t>
      </w:r>
    </w:p>
    <w:p w:rsidR="0096477F" w:rsidRDefault="008E7E2A" w:rsidP="00703346">
      <w:pPr>
        <w:pStyle w:val="Heading1"/>
        <w:rPr>
          <w:lang w:val="en-US"/>
        </w:rPr>
      </w:pPr>
      <w:r>
        <w:rPr>
          <w:lang w:val="en-US"/>
        </w:rPr>
        <w:t>UE RF challenges</w:t>
      </w:r>
      <w:r w:rsidR="008F14D1">
        <w:rPr>
          <w:lang w:val="en-US"/>
        </w:rPr>
        <w:t xml:space="preserve"> </w:t>
      </w:r>
    </w:p>
    <w:p w:rsidR="00B708F7" w:rsidRDefault="00B708F7" w:rsidP="00B708F7">
      <w:pPr>
        <w:pStyle w:val="Heading2"/>
        <w:rPr>
          <w:lang w:val="en-US"/>
        </w:rPr>
      </w:pPr>
      <w:r>
        <w:rPr>
          <w:lang w:val="en-US"/>
        </w:rPr>
        <w:t xml:space="preserve">Impact of different TDD configurations between carriers </w:t>
      </w:r>
    </w:p>
    <w:p w:rsidR="00B708F7" w:rsidRDefault="00B708F7"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Pr>
          <w:lang w:val="en-US"/>
        </w:rPr>
        <w:t xml:space="preserve">When different TDD configurations are used across carriers, then due to different TDD configurations in different carriers, </w:t>
      </w:r>
      <w:r>
        <w:rPr>
          <w:rStyle w:val="IvDbodytextChar"/>
        </w:rPr>
        <w:t>the UE reception and/or transmission performance may degrade in case larger number of carriers are involved in SRS carrier based switching. A</w:t>
      </w:r>
      <w:r w:rsidR="00BD3785">
        <w:rPr>
          <w:rStyle w:val="IvDbodytextChar"/>
        </w:rPr>
        <w:t>n</w:t>
      </w:r>
      <w:r>
        <w:rPr>
          <w:rStyle w:val="IvDbodytextChar"/>
        </w:rPr>
        <w:t xml:space="preserve"> example with 4 carriers are shown below. </w:t>
      </w:r>
      <w:r>
        <w:t xml:space="preserve">UE may decide to align the SRS transmissions in subframes of all serving cells when all the serving cells transmit in UL time resource i.e. all serving cells switch to UL subframes. For example, when different (more than one) TDD configurations are used in different carriers, the UE will always align the SRS switching in the same UL </w:t>
      </w:r>
      <w:r w:rsidRPr="00BD3785">
        <w:t xml:space="preserve">subframe </w:t>
      </w:r>
      <w:r w:rsidRPr="00EF2B48">
        <w:t>in all the serving cells</w:t>
      </w:r>
      <w:r w:rsidRPr="00BD3785">
        <w:t>.</w:t>
      </w:r>
      <w:r>
        <w:t xml:space="preserve">  </w:t>
      </w:r>
    </w:p>
    <w:p w:rsidR="00B708F7" w:rsidRPr="00F264AB" w:rsidRDefault="00B708F7" w:rsidP="00B708F7"/>
    <w:p w:rsidR="00B708F7" w:rsidRDefault="00B708F7" w:rsidP="00B708F7">
      <w:pPr>
        <w:rPr>
          <w:lang w:val="en-US"/>
        </w:rPr>
      </w:pPr>
      <w:r>
        <w:rPr>
          <w:noProof/>
          <w:lang w:val="sv-SE" w:eastAsia="sv-SE"/>
        </w:rPr>
        <w:drawing>
          <wp:inline distT="0" distB="0" distL="0" distR="0" wp14:anchorId="2D37A1D9" wp14:editId="4A48BFDF">
            <wp:extent cx="3531684" cy="15556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witching different carriers.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39131" cy="1558903"/>
                    </a:xfrm>
                    <a:prstGeom prst="rect">
                      <a:avLst/>
                    </a:prstGeom>
                  </pic:spPr>
                </pic:pic>
              </a:graphicData>
            </a:graphic>
          </wp:inline>
        </w:drawing>
      </w:r>
    </w:p>
    <w:p w:rsidR="00B708F7" w:rsidRDefault="00B708F7" w:rsidP="00B708F7">
      <w:pPr>
        <w:pStyle w:val="BodyText"/>
      </w:pPr>
      <w:r>
        <w:t xml:space="preserve">In the above example: the UE may decide to only use the second subframe (i.e. subframe number #1) when switching the SRS carrier, since this is the common UL subframe for all carriers i.e. for all the configured serving cells. </w:t>
      </w:r>
    </w:p>
    <w:p w:rsidR="008E7E2A" w:rsidRDefault="00DD7794" w:rsidP="008E7E2A">
      <w:pPr>
        <w:pStyle w:val="Heading2"/>
        <w:rPr>
          <w:lang w:val="en-US"/>
        </w:rPr>
      </w:pPr>
      <w:r>
        <w:rPr>
          <w:lang w:val="en-US"/>
        </w:rPr>
        <w:t xml:space="preserve">UL </w:t>
      </w:r>
      <w:r w:rsidR="008E7E2A" w:rsidRPr="008E7E2A">
        <w:rPr>
          <w:lang w:val="en-US"/>
        </w:rPr>
        <w:t>P</w:t>
      </w:r>
      <w:r w:rsidR="001E5C2B">
        <w:rPr>
          <w:lang w:val="en-US"/>
        </w:rPr>
        <w:t xml:space="preserve">ower </w:t>
      </w:r>
      <w:r w:rsidR="008E7E2A" w:rsidRPr="008E7E2A">
        <w:rPr>
          <w:lang w:val="en-US"/>
        </w:rPr>
        <w:t>C</w:t>
      </w:r>
      <w:r w:rsidR="001E5C2B">
        <w:rPr>
          <w:lang w:val="en-US"/>
        </w:rPr>
        <w:t>ontrol</w:t>
      </w:r>
      <w:r w:rsidR="008E7E2A" w:rsidRPr="008E7E2A">
        <w:rPr>
          <w:lang w:val="en-US"/>
        </w:rPr>
        <w:t xml:space="preserve"> issues</w:t>
      </w:r>
    </w:p>
    <w:p w:rsidR="001C4220" w:rsidRDefault="001C4220" w:rsidP="001C4220">
      <w:pPr>
        <w:pStyle w:val="Heading3"/>
        <w:rPr>
          <w:lang w:val="en-US"/>
        </w:rPr>
      </w:pPr>
      <w:r>
        <w:rPr>
          <w:lang w:val="en-US"/>
        </w:rPr>
        <w:t>PCMAX calculations</w:t>
      </w:r>
    </w:p>
    <w:p w:rsidR="001C4220" w:rsidRDefault="009E6179" w:rsidP="00B708F7">
      <w:pPr>
        <w:rPr>
          <w:lang w:val="en-US"/>
        </w:rPr>
      </w:pPr>
      <w:r w:rsidRPr="009E6179">
        <w:rPr>
          <w:lang w:val="en-US"/>
        </w:rPr>
        <w:t xml:space="preserve">For SRS carrier based switching, a UE can be configured by the network node to switch to one or more carriers for SRS transmission. This can cause uncertainties in terms of configured transmitted power of the </w:t>
      </w:r>
      <w:r w:rsidRPr="009E6179">
        <w:rPr>
          <w:lang w:val="en-US"/>
        </w:rPr>
        <w:lastRenderedPageBreak/>
        <w:t xml:space="preserve">UE. There are cases when the power control parameters may not be available for any carrier since there may not be any downlink transmission on the carrier for some time. Also, the UL transmission in any other carrier may cause the configured transmitted power to become more than maximum UE output power. This can cause inefficient SRS transmission when SRS switching is used. In the worst case, the power limitation may cause the UE to drop SRS transmissions.  </w:t>
      </w:r>
    </w:p>
    <w:p w:rsidR="009E6179" w:rsidRPr="001C4220" w:rsidRDefault="009E6179" w:rsidP="00B708F7">
      <w:pPr>
        <w:rPr>
          <w:lang w:val="en-US"/>
        </w:rPr>
      </w:pPr>
      <w:r>
        <w:rPr>
          <w:lang w:val="en-US"/>
        </w:rPr>
        <w:t xml:space="preserve">The PCMAX calculations with SRS switching needs to be understood further. </w:t>
      </w:r>
    </w:p>
    <w:p w:rsidR="00DD7794" w:rsidRPr="00920E42" w:rsidRDefault="00DD7794" w:rsidP="006963E2">
      <w:pPr>
        <w:pStyle w:val="Heading3"/>
      </w:pPr>
      <w:r w:rsidRPr="00920E42">
        <w:t xml:space="preserve">Different power control </w:t>
      </w:r>
      <w:r>
        <w:t xml:space="preserve">parameters </w:t>
      </w:r>
      <w:r w:rsidRPr="00920E42">
        <w:t>for different carriers</w:t>
      </w:r>
    </w:p>
    <w:p w:rsidR="00DD7794" w:rsidRPr="00B708F7" w:rsidRDefault="001C4220"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It may be the case that, there are no UL transmission in any carrier when SRS switching will be done to that carrier, thus UL power control parameters may not be available for this carrier at that instance of time. </w:t>
      </w:r>
      <w:r w:rsidR="00DD7794" w:rsidRPr="00B708F7">
        <w:rPr>
          <w:lang w:val="en-US"/>
        </w:rPr>
        <w:t xml:space="preserve">Since a carrier on which SRS carrier based switching is performed can be in a spectrum which is very different than the current spectrum, thus the power control parameters will be very different. </w:t>
      </w:r>
    </w:p>
    <w:p w:rsidR="00DD7794" w:rsidRPr="00B708F7" w:rsidRDefault="00DD7794"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Moreover, due to different MPR/A-MPR requirements in different carriers, the final output power levels can be very different. This can create challenges for UL power control adjustments.</w:t>
      </w:r>
    </w:p>
    <w:p w:rsidR="00DD7794" w:rsidRDefault="00365D6E" w:rsidP="006963E2">
      <w:pPr>
        <w:pStyle w:val="Heading3"/>
      </w:pPr>
      <w:r>
        <w:t>UL power control accuracy</w:t>
      </w:r>
    </w:p>
    <w:p w:rsidR="000144B3" w:rsidRPr="00B708F7" w:rsidRDefault="00365D6E"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As we have shown in our companion contribution </w:t>
      </w:r>
      <w:r w:rsidRPr="00B708F7">
        <w:rPr>
          <w:lang w:val="en-US"/>
        </w:rPr>
        <w:fldChar w:fldCharType="begin"/>
      </w:r>
      <w:r w:rsidRPr="00B708F7">
        <w:rPr>
          <w:lang w:val="en-US"/>
        </w:rPr>
        <w:instrText xml:space="preserve"> REF _Ref450844166 \r \h </w:instrText>
      </w:r>
      <w:r w:rsidR="001C4220">
        <w:rPr>
          <w:lang w:val="en-US"/>
        </w:rPr>
        <w:instrText xml:space="preserve"> \* MERGEFORMAT </w:instrText>
      </w:r>
      <w:r w:rsidRPr="00B708F7">
        <w:rPr>
          <w:lang w:val="en-US"/>
        </w:rPr>
      </w:r>
      <w:r w:rsidRPr="00B708F7">
        <w:rPr>
          <w:lang w:val="en-US"/>
        </w:rPr>
        <w:fldChar w:fldCharType="separate"/>
      </w:r>
      <w:r w:rsidRPr="00B708F7">
        <w:rPr>
          <w:lang w:val="en-US"/>
        </w:rPr>
        <w:t>[2]</w:t>
      </w:r>
      <w:r w:rsidRPr="00B708F7">
        <w:rPr>
          <w:lang w:val="en-US"/>
        </w:rPr>
        <w:fldChar w:fldCharType="end"/>
      </w:r>
      <w:r w:rsidRPr="00B708F7">
        <w:rPr>
          <w:lang w:val="en-US"/>
        </w:rPr>
        <w:t xml:space="preserve">, we can have a scenario where SRS carrier based switching can be performed on up to 4 carriers considering Rel-14 CA combinations. </w:t>
      </w:r>
      <w:r w:rsidR="000144B3" w:rsidRPr="00B708F7">
        <w:rPr>
          <w:lang w:val="en-US"/>
        </w:rPr>
        <w:t xml:space="preserve">In this case, the SRS carrier based switching may need to be done quite frequently. </w:t>
      </w:r>
    </w:p>
    <w:p w:rsidR="000144B3" w:rsidRPr="00B708F7" w:rsidRDefault="000144B3"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There is an additional UE power control tolerance issue which is described here. In </w:t>
      </w:r>
      <w:r w:rsidRPr="00B708F7">
        <w:rPr>
          <w:lang w:val="en-US"/>
        </w:rPr>
        <w:fldChar w:fldCharType="begin"/>
      </w:r>
      <w:r w:rsidRPr="00B708F7">
        <w:rPr>
          <w:lang w:val="en-US"/>
        </w:rPr>
        <w:instrText xml:space="preserve"> REF _Ref450844429 \r \h </w:instrText>
      </w:r>
      <w:r w:rsidR="001C4220">
        <w:rPr>
          <w:lang w:val="en-US"/>
        </w:rPr>
        <w:instrText xml:space="preserve"> \* MERGEFORMAT </w:instrText>
      </w:r>
      <w:r w:rsidRPr="00B708F7">
        <w:rPr>
          <w:lang w:val="en-US"/>
        </w:rPr>
      </w:r>
      <w:r w:rsidRPr="00B708F7">
        <w:rPr>
          <w:lang w:val="en-US"/>
        </w:rPr>
        <w:fldChar w:fldCharType="separate"/>
      </w:r>
      <w:r w:rsidRPr="00B708F7">
        <w:rPr>
          <w:lang w:val="en-US"/>
        </w:rPr>
        <w:t>[3]</w:t>
      </w:r>
      <w:r w:rsidRPr="00B708F7">
        <w:rPr>
          <w:lang w:val="en-US"/>
        </w:rPr>
        <w:fldChar w:fldCharType="end"/>
      </w:r>
      <w:r w:rsidRPr="00B708F7">
        <w:rPr>
          <w:lang w:val="en-US"/>
        </w:rPr>
        <w:t>, absolute and relative power tolerance are defined to control the UL transmit power quality. Absolute power tolerance is the ability of the UE transmitter to set its initial output power to a specific value for the first sub-frame at the start of a contiguous transmission or non-contiguous transmission with a transmission gap larger than 20ms. The absolute power tolerance is ± 9.0 dB in normal conditions and ± 12.0 dB in extreme conditions and applies over the power range bounded by the Maximum output power and the Minimum output power. The relative power tolerance is the ability of the UE transmitter to set its output power in a target sub-frame relatively to the power of the most recently transmitted reference sub-frame if the transmission gap between these sub-frames is ≤ 20 ms.</w:t>
      </w:r>
    </w:p>
    <w:p w:rsidR="00072917" w:rsidRDefault="000144B3"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B708F7">
        <w:rPr>
          <w:lang w:val="en-US"/>
        </w:rPr>
        <w:t xml:space="preserve">For achieving UL power control accuracy, it is desired to transmit consecutive SRS transmission with a transmission gap less than 20ms. In that case, relative power levels can be used. </w:t>
      </w:r>
      <w:r w:rsidR="001C4220">
        <w:rPr>
          <w:lang w:val="en-US"/>
        </w:rPr>
        <w:t xml:space="preserve">As mentioned earlier, with larger number of carriers to switching in-between, if the above 20ms requirement needs to be met, then we need to perform SRS switching quite frequently. In that case, the DL transmissions will be interrupted very frequently, which will result in loss of DL capacity. </w:t>
      </w:r>
    </w:p>
    <w:p w:rsidR="001C4220" w:rsidRPr="00B708F7" w:rsidRDefault="001C4220" w:rsidP="00B708F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Pr>
          <w:lang w:val="en-US"/>
        </w:rPr>
        <w:t>One alternative is to increase the t</w:t>
      </w:r>
      <w:r w:rsidR="00B708F7">
        <w:rPr>
          <w:lang w:val="en-US"/>
        </w:rPr>
        <w:t xml:space="preserve">ransmission gap for being able to apply relative power control tolerance in UL from 20ms to a higher number. As an example: this can be a function of number of carriers where SRS switching happens. </w:t>
      </w:r>
      <w:r>
        <w:rPr>
          <w:lang w:val="en-US"/>
        </w:rPr>
        <w:t xml:space="preserve"> </w:t>
      </w:r>
    </w:p>
    <w:p w:rsidR="0009238F" w:rsidRPr="00B708F7" w:rsidRDefault="0009238F" w:rsidP="00EF2B48">
      <w:pPr>
        <w:pStyle w:val="Heading3"/>
        <w:numPr>
          <w:ilvl w:val="0"/>
          <w:numId w:val="0"/>
        </w:numPr>
        <w:rPr>
          <w:lang w:val="en-US"/>
        </w:rPr>
      </w:pPr>
    </w:p>
    <w:p w:rsidR="00E131D4" w:rsidRPr="00F264AB" w:rsidRDefault="00E131D4" w:rsidP="00BB312D"/>
    <w:p w:rsidR="00C01F33" w:rsidRDefault="00C01F33" w:rsidP="00C01F33">
      <w:pPr>
        <w:pStyle w:val="Heading1"/>
        <w:rPr>
          <w:lang w:val="en-US"/>
        </w:rPr>
      </w:pPr>
      <w:r w:rsidRPr="001363CA">
        <w:rPr>
          <w:lang w:val="en-US"/>
        </w:rPr>
        <w:t>Conclusion</w:t>
      </w:r>
    </w:p>
    <w:p w:rsidR="00CF57DA" w:rsidRPr="00CF57DA" w:rsidRDefault="00CF57DA" w:rsidP="00CF57DA">
      <w:pPr>
        <w:rPr>
          <w:sz w:val="22"/>
          <w:szCs w:val="22"/>
          <w:lang w:val="en-US"/>
        </w:rPr>
      </w:pPr>
      <w:r w:rsidRPr="00CF57DA">
        <w:rPr>
          <w:sz w:val="22"/>
          <w:szCs w:val="22"/>
          <w:lang w:val="en-US"/>
        </w:rPr>
        <w:t>In this paper</w:t>
      </w:r>
      <w:r>
        <w:rPr>
          <w:sz w:val="22"/>
          <w:szCs w:val="22"/>
          <w:lang w:val="en-US"/>
        </w:rPr>
        <w:t>,</w:t>
      </w:r>
      <w:r w:rsidR="00DC49B8">
        <w:rPr>
          <w:sz w:val="22"/>
          <w:szCs w:val="22"/>
          <w:lang w:val="en-US"/>
        </w:rPr>
        <w:t xml:space="preserve"> </w:t>
      </w:r>
      <w:r w:rsidR="001B2388">
        <w:rPr>
          <w:sz w:val="22"/>
          <w:szCs w:val="22"/>
          <w:lang w:val="en-US"/>
        </w:rPr>
        <w:t xml:space="preserve">we presented a number of UE challenges when SRS carrier based switching is used for TDD carriers. </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4D36B1" w:rsidRPr="00253E53" w:rsidRDefault="00253E53" w:rsidP="00253E53">
      <w:pPr>
        <w:pStyle w:val="Reference"/>
        <w:rPr>
          <w:sz w:val="22"/>
          <w:szCs w:val="22"/>
          <w:lang w:val="en-US"/>
        </w:rPr>
      </w:pPr>
      <w:bookmarkStart w:id="4" w:name="_Ref174151459"/>
      <w:bookmarkStart w:id="5" w:name="_Ref189809556"/>
      <w:bookmarkStart w:id="6"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4"/>
      <w:r w:rsidR="00DC49B8" w:rsidRPr="00253E53">
        <w:rPr>
          <w:sz w:val="22"/>
          <w:szCs w:val="22"/>
          <w:lang w:val="en-US"/>
        </w:rPr>
        <w:t xml:space="preserve"> </w:t>
      </w:r>
      <w:r w:rsidRPr="00253E53">
        <w:rPr>
          <w:lang w:val="en-US"/>
        </w:rPr>
        <w:t>Huawei, HiSilicon</w:t>
      </w:r>
      <w:bookmarkEnd w:id="5"/>
      <w:r w:rsidR="00DD7794">
        <w:rPr>
          <w:lang w:val="en-US"/>
        </w:rPr>
        <w:t xml:space="preserve">, </w:t>
      </w:r>
      <w:r w:rsidRPr="00253E53">
        <w:rPr>
          <w:rFonts w:cs="Arial"/>
          <w:sz w:val="22"/>
          <w:szCs w:val="22"/>
          <w:lang w:val="en-US"/>
        </w:rPr>
        <w:t>3GPP TSG RAN Meeting #71, Göteborg, Sweden, March 7 - 10, 2016</w:t>
      </w:r>
      <w:bookmarkEnd w:id="6"/>
    </w:p>
    <w:p w:rsidR="00DD7794" w:rsidRDefault="00DD7794" w:rsidP="00DD7794">
      <w:pPr>
        <w:pStyle w:val="Reference"/>
        <w:rPr>
          <w:sz w:val="22"/>
          <w:szCs w:val="22"/>
          <w:lang w:val="en-US"/>
        </w:rPr>
      </w:pPr>
      <w:bookmarkStart w:id="7" w:name="_Ref450844166"/>
      <w:r w:rsidRPr="00365D6E">
        <w:rPr>
          <w:sz w:val="22"/>
          <w:szCs w:val="22"/>
          <w:lang w:val="en-US"/>
        </w:rPr>
        <w:t>R4-</w:t>
      </w:r>
      <w:r w:rsidR="001C4220" w:rsidRPr="00365D6E">
        <w:rPr>
          <w:sz w:val="22"/>
          <w:szCs w:val="22"/>
          <w:lang w:val="en-US"/>
        </w:rPr>
        <w:t>16</w:t>
      </w:r>
      <w:r w:rsidR="001C4220">
        <w:rPr>
          <w:sz w:val="22"/>
          <w:szCs w:val="22"/>
          <w:lang w:val="en-US"/>
        </w:rPr>
        <w:t>xxxx</w:t>
      </w:r>
      <w:r w:rsidRPr="00365D6E">
        <w:rPr>
          <w:sz w:val="22"/>
          <w:szCs w:val="22"/>
          <w:lang w:val="en-US"/>
        </w:rPr>
        <w:t xml:space="preserve">, </w:t>
      </w:r>
      <w:r w:rsidRPr="000144B3">
        <w:rPr>
          <w:sz w:val="22"/>
          <w:szCs w:val="22"/>
          <w:lang w:val="en-US"/>
        </w:rPr>
        <w:t>“Scenarios for SRS carrier based switching for LTE”, Ericsson</w:t>
      </w:r>
      <w:bookmarkEnd w:id="7"/>
    </w:p>
    <w:p w:rsidR="000144B3" w:rsidRDefault="000144B3" w:rsidP="000144B3">
      <w:pPr>
        <w:pStyle w:val="Reference"/>
        <w:rPr>
          <w:sz w:val="22"/>
          <w:szCs w:val="22"/>
          <w:lang w:val="sv-SE"/>
        </w:rPr>
      </w:pPr>
      <w:bookmarkStart w:id="8" w:name="_Ref450844429"/>
      <w:r w:rsidRPr="000144B3">
        <w:rPr>
          <w:sz w:val="22"/>
          <w:szCs w:val="22"/>
          <w:lang w:val="sv-SE"/>
        </w:rPr>
        <w:t>3G</w:t>
      </w:r>
      <w:r>
        <w:rPr>
          <w:sz w:val="22"/>
          <w:szCs w:val="22"/>
          <w:lang w:val="sv-SE"/>
        </w:rPr>
        <w:t>PP TS 36.101 V13.3.0 (2016-03)</w:t>
      </w:r>
      <w:bookmarkEnd w:id="8"/>
    </w:p>
    <w:p w:rsidR="00112552" w:rsidRDefault="00112552" w:rsidP="00112552">
      <w:pPr>
        <w:pStyle w:val="Reference"/>
        <w:rPr>
          <w:lang w:val="en-US"/>
        </w:rPr>
      </w:pPr>
      <w:bookmarkStart w:id="9" w:name="_Ref450907111"/>
      <w:r>
        <w:rPr>
          <w:lang w:val="en-US"/>
        </w:rPr>
        <w:lastRenderedPageBreak/>
        <w:t>R1-165154, On Channel Access Procedures for PRACH and SRS, Ericsson</w:t>
      </w:r>
      <w:bookmarkEnd w:id="9"/>
    </w:p>
    <w:p w:rsidR="00112552" w:rsidRDefault="00112552" w:rsidP="00112552">
      <w:pPr>
        <w:pStyle w:val="Reference"/>
        <w:rPr>
          <w:lang w:val="en-US"/>
        </w:rPr>
      </w:pPr>
      <w:bookmarkStart w:id="10" w:name="_Ref450908013"/>
      <w:r>
        <w:rPr>
          <w:lang w:val="en-US"/>
        </w:rPr>
        <w:t>R1-165157, On UL Channel Access Procedures, Ericsson</w:t>
      </w:r>
      <w:bookmarkEnd w:id="10"/>
    </w:p>
    <w:p w:rsidR="00112552" w:rsidRPr="00FB4264" w:rsidRDefault="00112552" w:rsidP="00FB4264">
      <w:pPr>
        <w:pStyle w:val="Reference"/>
        <w:numPr>
          <w:ilvl w:val="0"/>
          <w:numId w:val="0"/>
        </w:numPr>
        <w:ind w:left="567"/>
        <w:rPr>
          <w:sz w:val="22"/>
          <w:szCs w:val="22"/>
          <w:lang w:val="en-US"/>
        </w:rPr>
      </w:pPr>
    </w:p>
    <w:sectPr w:rsidR="00112552" w:rsidRPr="00FB426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6DE" w:rsidRDefault="002646DE">
      <w:r>
        <w:separator/>
      </w:r>
    </w:p>
  </w:endnote>
  <w:endnote w:type="continuationSeparator" w:id="0">
    <w:p w:rsidR="002646DE" w:rsidRDefault="0026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2B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B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6DE" w:rsidRDefault="002646DE">
      <w:r>
        <w:separator/>
      </w:r>
    </w:p>
  </w:footnote>
  <w:footnote w:type="continuationSeparator" w:id="0">
    <w:p w:rsidR="002646DE" w:rsidRDefault="00264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4E809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347B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DE63F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7000DDF"/>
    <w:multiLevelType w:val="hybridMultilevel"/>
    <w:tmpl w:val="1018D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1"/>
  </w:num>
  <w:num w:numId="4">
    <w:abstractNumId w:val="22"/>
  </w:num>
  <w:num w:numId="5">
    <w:abstractNumId w:val="15"/>
  </w:num>
  <w:num w:numId="6">
    <w:abstractNumId w:val="24"/>
  </w:num>
  <w:num w:numId="7">
    <w:abstractNumId w:val="28"/>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0"/>
  </w:num>
  <w:num w:numId="17">
    <w:abstractNumId w:val="31"/>
  </w:num>
  <w:num w:numId="18">
    <w:abstractNumId w:val="34"/>
  </w:num>
  <w:num w:numId="19">
    <w:abstractNumId w:val="29"/>
  </w:num>
  <w:num w:numId="20">
    <w:abstractNumId w:val="19"/>
  </w:num>
  <w:num w:numId="21">
    <w:abstractNumId w:val="27"/>
  </w:num>
  <w:num w:numId="22">
    <w:abstractNumId w:val="23"/>
  </w:num>
  <w:num w:numId="23">
    <w:abstractNumId w:val="7"/>
  </w:num>
  <w:num w:numId="24">
    <w:abstractNumId w:val="35"/>
  </w:num>
  <w:num w:numId="25">
    <w:abstractNumId w:val="6"/>
  </w:num>
  <w:num w:numId="26">
    <w:abstractNumId w:val="25"/>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2"/>
  </w:num>
  <w:num w:numId="35">
    <w:abstractNumId w:val="26"/>
  </w:num>
  <w:num w:numId="36">
    <w:abstractNumId w:val="36"/>
  </w:num>
  <w:num w:numId="37">
    <w:abstractNumId w:val="12"/>
  </w:num>
  <w:num w:numId="38">
    <w:abstractNumId w:val="3"/>
  </w:num>
  <w:num w:numId="3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4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2917"/>
    <w:rsid w:val="00077E5F"/>
    <w:rsid w:val="0008036A"/>
    <w:rsid w:val="00081AE6"/>
    <w:rsid w:val="000855EB"/>
    <w:rsid w:val="00085B52"/>
    <w:rsid w:val="000866F2"/>
    <w:rsid w:val="0009009F"/>
    <w:rsid w:val="00090658"/>
    <w:rsid w:val="00091557"/>
    <w:rsid w:val="0009238F"/>
    <w:rsid w:val="000924C1"/>
    <w:rsid w:val="000924F0"/>
    <w:rsid w:val="00093474"/>
    <w:rsid w:val="0009510F"/>
    <w:rsid w:val="000A1B7B"/>
    <w:rsid w:val="000A56F2"/>
    <w:rsid w:val="000A6358"/>
    <w:rsid w:val="000B2719"/>
    <w:rsid w:val="000B3A8F"/>
    <w:rsid w:val="000B3B40"/>
    <w:rsid w:val="000B4AB9"/>
    <w:rsid w:val="000B58C3"/>
    <w:rsid w:val="000B5C89"/>
    <w:rsid w:val="000B61E9"/>
    <w:rsid w:val="000C165A"/>
    <w:rsid w:val="000C2E19"/>
    <w:rsid w:val="000C46D5"/>
    <w:rsid w:val="000D0D07"/>
    <w:rsid w:val="000D4797"/>
    <w:rsid w:val="000D627C"/>
    <w:rsid w:val="000E0527"/>
    <w:rsid w:val="000E1E92"/>
    <w:rsid w:val="000E5BBE"/>
    <w:rsid w:val="000F06D6"/>
    <w:rsid w:val="000F0EB1"/>
    <w:rsid w:val="000F1106"/>
    <w:rsid w:val="000F3BE9"/>
    <w:rsid w:val="000F3F6C"/>
    <w:rsid w:val="000F4212"/>
    <w:rsid w:val="000F6DF3"/>
    <w:rsid w:val="000F7742"/>
    <w:rsid w:val="001005FF"/>
    <w:rsid w:val="00103BD6"/>
    <w:rsid w:val="001062FB"/>
    <w:rsid w:val="001063E6"/>
    <w:rsid w:val="00112552"/>
    <w:rsid w:val="00112F35"/>
    <w:rsid w:val="00113CF4"/>
    <w:rsid w:val="001153EA"/>
    <w:rsid w:val="00115643"/>
    <w:rsid w:val="00115F11"/>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2388"/>
    <w:rsid w:val="001B5A5D"/>
    <w:rsid w:val="001C0345"/>
    <w:rsid w:val="001C0955"/>
    <w:rsid w:val="001C1CE5"/>
    <w:rsid w:val="001C3027"/>
    <w:rsid w:val="001C3D2A"/>
    <w:rsid w:val="001C4220"/>
    <w:rsid w:val="001C4F57"/>
    <w:rsid w:val="001D51BA"/>
    <w:rsid w:val="001D6342"/>
    <w:rsid w:val="001D6D53"/>
    <w:rsid w:val="001D7E2C"/>
    <w:rsid w:val="001E58E2"/>
    <w:rsid w:val="001E5C2B"/>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723"/>
    <w:rsid w:val="002458EB"/>
    <w:rsid w:val="002500C8"/>
    <w:rsid w:val="00253E53"/>
    <w:rsid w:val="00257543"/>
    <w:rsid w:val="002617E7"/>
    <w:rsid w:val="00264228"/>
    <w:rsid w:val="00264334"/>
    <w:rsid w:val="002646DE"/>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223"/>
    <w:rsid w:val="002A055E"/>
    <w:rsid w:val="002A1D4E"/>
    <w:rsid w:val="002A2869"/>
    <w:rsid w:val="002B1119"/>
    <w:rsid w:val="002B24D6"/>
    <w:rsid w:val="002B33DF"/>
    <w:rsid w:val="002C41E6"/>
    <w:rsid w:val="002D071A"/>
    <w:rsid w:val="002D34B2"/>
    <w:rsid w:val="002D7637"/>
    <w:rsid w:val="002E17F2"/>
    <w:rsid w:val="002E7CAE"/>
    <w:rsid w:val="002F2771"/>
    <w:rsid w:val="002F37A9"/>
    <w:rsid w:val="002F57A0"/>
    <w:rsid w:val="00301CE6"/>
    <w:rsid w:val="0030256B"/>
    <w:rsid w:val="00304492"/>
    <w:rsid w:val="0030501F"/>
    <w:rsid w:val="00307BA1"/>
    <w:rsid w:val="00311702"/>
    <w:rsid w:val="00311E82"/>
    <w:rsid w:val="00312081"/>
    <w:rsid w:val="003133BF"/>
    <w:rsid w:val="00313FD6"/>
    <w:rsid w:val="003143BD"/>
    <w:rsid w:val="003203ED"/>
    <w:rsid w:val="00321795"/>
    <w:rsid w:val="00322C9F"/>
    <w:rsid w:val="00324D23"/>
    <w:rsid w:val="0032670E"/>
    <w:rsid w:val="00331751"/>
    <w:rsid w:val="00334579"/>
    <w:rsid w:val="00335858"/>
    <w:rsid w:val="00336BDA"/>
    <w:rsid w:val="00342BD7"/>
    <w:rsid w:val="00346DB5"/>
    <w:rsid w:val="003477B1"/>
    <w:rsid w:val="00357380"/>
    <w:rsid w:val="003602D9"/>
    <w:rsid w:val="003604CE"/>
    <w:rsid w:val="00365D6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4249"/>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C26"/>
    <w:rsid w:val="00433AF3"/>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781"/>
    <w:rsid w:val="005219CF"/>
    <w:rsid w:val="005270CC"/>
    <w:rsid w:val="00534B59"/>
    <w:rsid w:val="00536759"/>
    <w:rsid w:val="00537C62"/>
    <w:rsid w:val="00546970"/>
    <w:rsid w:val="00550C36"/>
    <w:rsid w:val="005536C2"/>
    <w:rsid w:val="00554699"/>
    <w:rsid w:val="00554E19"/>
    <w:rsid w:val="0056121F"/>
    <w:rsid w:val="00565A68"/>
    <w:rsid w:val="00572505"/>
    <w:rsid w:val="00582809"/>
    <w:rsid w:val="0058798C"/>
    <w:rsid w:val="005900FA"/>
    <w:rsid w:val="005935A4"/>
    <w:rsid w:val="005948C2"/>
    <w:rsid w:val="00595DCA"/>
    <w:rsid w:val="00596666"/>
    <w:rsid w:val="0059779B"/>
    <w:rsid w:val="005A209A"/>
    <w:rsid w:val="005A553E"/>
    <w:rsid w:val="005A662D"/>
    <w:rsid w:val="005B126D"/>
    <w:rsid w:val="005B35D7"/>
    <w:rsid w:val="005B392A"/>
    <w:rsid w:val="005B3AA3"/>
    <w:rsid w:val="005B6476"/>
    <w:rsid w:val="005B6F83"/>
    <w:rsid w:val="005C67DB"/>
    <w:rsid w:val="005C70CE"/>
    <w:rsid w:val="005C74FB"/>
    <w:rsid w:val="005D1602"/>
    <w:rsid w:val="005D6C59"/>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6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3E2"/>
    <w:rsid w:val="00696949"/>
    <w:rsid w:val="00697052"/>
    <w:rsid w:val="006A46FB"/>
    <w:rsid w:val="006A49A5"/>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68A1"/>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190F"/>
    <w:rsid w:val="007F7DCF"/>
    <w:rsid w:val="00803FAE"/>
    <w:rsid w:val="00805DC4"/>
    <w:rsid w:val="0080605F"/>
    <w:rsid w:val="0080697A"/>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025"/>
    <w:rsid w:val="008444E8"/>
    <w:rsid w:val="00844E80"/>
    <w:rsid w:val="00846FE7"/>
    <w:rsid w:val="00856911"/>
    <w:rsid w:val="00860037"/>
    <w:rsid w:val="00865524"/>
    <w:rsid w:val="008677FD"/>
    <w:rsid w:val="00867A7D"/>
    <w:rsid w:val="008706D4"/>
    <w:rsid w:val="00870F8A"/>
    <w:rsid w:val="008719A4"/>
    <w:rsid w:val="00871D23"/>
    <w:rsid w:val="00874312"/>
    <w:rsid w:val="0087437C"/>
    <w:rsid w:val="008755C4"/>
    <w:rsid w:val="00875CD7"/>
    <w:rsid w:val="00876B4D"/>
    <w:rsid w:val="00877F18"/>
    <w:rsid w:val="00881F2F"/>
    <w:rsid w:val="00887B46"/>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7E2A"/>
    <w:rsid w:val="008F14D1"/>
    <w:rsid w:val="008F1EAB"/>
    <w:rsid w:val="008F2F68"/>
    <w:rsid w:val="008F33DC"/>
    <w:rsid w:val="008F477F"/>
    <w:rsid w:val="008F6358"/>
    <w:rsid w:val="009014DE"/>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4152"/>
    <w:rsid w:val="0095681E"/>
    <w:rsid w:val="009572D4"/>
    <w:rsid w:val="00961921"/>
    <w:rsid w:val="0096430A"/>
    <w:rsid w:val="0096477F"/>
    <w:rsid w:val="0096554B"/>
    <w:rsid w:val="0096584A"/>
    <w:rsid w:val="00971F08"/>
    <w:rsid w:val="0097603D"/>
    <w:rsid w:val="00976949"/>
    <w:rsid w:val="00980477"/>
    <w:rsid w:val="00984671"/>
    <w:rsid w:val="00985253"/>
    <w:rsid w:val="009853B3"/>
    <w:rsid w:val="00990630"/>
    <w:rsid w:val="00991761"/>
    <w:rsid w:val="00994DCA"/>
    <w:rsid w:val="009960EC"/>
    <w:rsid w:val="009970DD"/>
    <w:rsid w:val="009A0FBA"/>
    <w:rsid w:val="009A1601"/>
    <w:rsid w:val="009A4514"/>
    <w:rsid w:val="009A462D"/>
    <w:rsid w:val="009A5CBA"/>
    <w:rsid w:val="009B1F30"/>
    <w:rsid w:val="009B3AC2"/>
    <w:rsid w:val="009B497B"/>
    <w:rsid w:val="009B4DF4"/>
    <w:rsid w:val="009B564E"/>
    <w:rsid w:val="009B7E87"/>
    <w:rsid w:val="009C0D4F"/>
    <w:rsid w:val="009C403E"/>
    <w:rsid w:val="009D1E33"/>
    <w:rsid w:val="009D4FF0"/>
    <w:rsid w:val="009D703C"/>
    <w:rsid w:val="009D718F"/>
    <w:rsid w:val="009E068F"/>
    <w:rsid w:val="009E14E0"/>
    <w:rsid w:val="009E35DB"/>
    <w:rsid w:val="009E47A3"/>
    <w:rsid w:val="009E6179"/>
    <w:rsid w:val="009F08F3"/>
    <w:rsid w:val="009F344F"/>
    <w:rsid w:val="00A048A8"/>
    <w:rsid w:val="00A101F1"/>
    <w:rsid w:val="00A13E54"/>
    <w:rsid w:val="00A16C26"/>
    <w:rsid w:val="00A17F63"/>
    <w:rsid w:val="00A2193B"/>
    <w:rsid w:val="00A2351A"/>
    <w:rsid w:val="00A264A9"/>
    <w:rsid w:val="00A27785"/>
    <w:rsid w:val="00A30187"/>
    <w:rsid w:val="00A33D5C"/>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5B2"/>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3909"/>
    <w:rsid w:val="00AC49FB"/>
    <w:rsid w:val="00AC5A10"/>
    <w:rsid w:val="00AD0AA3"/>
    <w:rsid w:val="00AD0BB1"/>
    <w:rsid w:val="00AD2642"/>
    <w:rsid w:val="00AD38BA"/>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3449"/>
    <w:rsid w:val="00B05084"/>
    <w:rsid w:val="00B12A07"/>
    <w:rsid w:val="00B157F9"/>
    <w:rsid w:val="00B20256"/>
    <w:rsid w:val="00B20D09"/>
    <w:rsid w:val="00B26EDF"/>
    <w:rsid w:val="00B2763F"/>
    <w:rsid w:val="00B27AAC"/>
    <w:rsid w:val="00B30929"/>
    <w:rsid w:val="00B31D99"/>
    <w:rsid w:val="00B372AA"/>
    <w:rsid w:val="00B40445"/>
    <w:rsid w:val="00B41888"/>
    <w:rsid w:val="00B45A52"/>
    <w:rsid w:val="00B46175"/>
    <w:rsid w:val="00B5330B"/>
    <w:rsid w:val="00B664C7"/>
    <w:rsid w:val="00B708F7"/>
    <w:rsid w:val="00B739F6"/>
    <w:rsid w:val="00B81A6C"/>
    <w:rsid w:val="00B83D6A"/>
    <w:rsid w:val="00B85DE5"/>
    <w:rsid w:val="00B90F73"/>
    <w:rsid w:val="00B9186D"/>
    <w:rsid w:val="00B93B59"/>
    <w:rsid w:val="00B9406A"/>
    <w:rsid w:val="00BA2280"/>
    <w:rsid w:val="00BA24A1"/>
    <w:rsid w:val="00BA2A08"/>
    <w:rsid w:val="00BA56D2"/>
    <w:rsid w:val="00BA76E0"/>
    <w:rsid w:val="00BB2A25"/>
    <w:rsid w:val="00BB312D"/>
    <w:rsid w:val="00BB51E9"/>
    <w:rsid w:val="00BC0FDC"/>
    <w:rsid w:val="00BC3053"/>
    <w:rsid w:val="00BC4D2E"/>
    <w:rsid w:val="00BC590C"/>
    <w:rsid w:val="00BD3785"/>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4B8F"/>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6015"/>
    <w:rsid w:val="00CE7561"/>
    <w:rsid w:val="00CE788A"/>
    <w:rsid w:val="00CF1354"/>
    <w:rsid w:val="00CF1DB2"/>
    <w:rsid w:val="00CF3B1F"/>
    <w:rsid w:val="00CF3BF6"/>
    <w:rsid w:val="00CF57DA"/>
    <w:rsid w:val="00CF625B"/>
    <w:rsid w:val="00CF687E"/>
    <w:rsid w:val="00D0349B"/>
    <w:rsid w:val="00D10249"/>
    <w:rsid w:val="00D115C3"/>
    <w:rsid w:val="00D11897"/>
    <w:rsid w:val="00D13135"/>
    <w:rsid w:val="00D13571"/>
    <w:rsid w:val="00D13E4E"/>
    <w:rsid w:val="00D15D2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54"/>
    <w:rsid w:val="00D708B0"/>
    <w:rsid w:val="00D70FCF"/>
    <w:rsid w:val="00D77B1D"/>
    <w:rsid w:val="00D8021F"/>
    <w:rsid w:val="00D80383"/>
    <w:rsid w:val="00D823C6"/>
    <w:rsid w:val="00D869E1"/>
    <w:rsid w:val="00D86CA3"/>
    <w:rsid w:val="00D871CE"/>
    <w:rsid w:val="00D9196D"/>
    <w:rsid w:val="00D92982"/>
    <w:rsid w:val="00D92FC5"/>
    <w:rsid w:val="00D95C04"/>
    <w:rsid w:val="00DA305E"/>
    <w:rsid w:val="00DA5417"/>
    <w:rsid w:val="00DA56E8"/>
    <w:rsid w:val="00DB0009"/>
    <w:rsid w:val="00DB27F0"/>
    <w:rsid w:val="00DB377D"/>
    <w:rsid w:val="00DC2D36"/>
    <w:rsid w:val="00DC4220"/>
    <w:rsid w:val="00DC49B8"/>
    <w:rsid w:val="00DC53EF"/>
    <w:rsid w:val="00DC6A6D"/>
    <w:rsid w:val="00DD5DFE"/>
    <w:rsid w:val="00DD7794"/>
    <w:rsid w:val="00DE35AD"/>
    <w:rsid w:val="00DE5608"/>
    <w:rsid w:val="00DE582F"/>
    <w:rsid w:val="00DE58D0"/>
    <w:rsid w:val="00DE654F"/>
    <w:rsid w:val="00DE761A"/>
    <w:rsid w:val="00DF0B6E"/>
    <w:rsid w:val="00DF15E0"/>
    <w:rsid w:val="00DF189F"/>
    <w:rsid w:val="00DF36BF"/>
    <w:rsid w:val="00DF37A0"/>
    <w:rsid w:val="00E10F57"/>
    <w:rsid w:val="00E110E7"/>
    <w:rsid w:val="00E11B20"/>
    <w:rsid w:val="00E131D4"/>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50DD"/>
    <w:rsid w:val="00E46886"/>
    <w:rsid w:val="00E47AEF"/>
    <w:rsid w:val="00E53B75"/>
    <w:rsid w:val="00E54E3B"/>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203"/>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E4D9A"/>
    <w:rsid w:val="00EF18FE"/>
    <w:rsid w:val="00EF2B48"/>
    <w:rsid w:val="00EF5787"/>
    <w:rsid w:val="00EF60D0"/>
    <w:rsid w:val="00F02717"/>
    <w:rsid w:val="00F0528D"/>
    <w:rsid w:val="00F06C67"/>
    <w:rsid w:val="00F06DFD"/>
    <w:rsid w:val="00F071D1"/>
    <w:rsid w:val="00F07533"/>
    <w:rsid w:val="00F10629"/>
    <w:rsid w:val="00F136FF"/>
    <w:rsid w:val="00F15FA5"/>
    <w:rsid w:val="00F209B7"/>
    <w:rsid w:val="00F2376F"/>
    <w:rsid w:val="00F243D8"/>
    <w:rsid w:val="00F264AB"/>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51FE"/>
    <w:rsid w:val="00F95EE3"/>
    <w:rsid w:val="00F96985"/>
    <w:rsid w:val="00F97838"/>
    <w:rsid w:val="00FA2BB3"/>
    <w:rsid w:val="00FB4264"/>
    <w:rsid w:val="00FB4C80"/>
    <w:rsid w:val="00FB528C"/>
    <w:rsid w:val="00FB52F6"/>
    <w:rsid w:val="00FB6A6A"/>
    <w:rsid w:val="00FC5AC7"/>
    <w:rsid w:val="00FC7429"/>
    <w:rsid w:val="00FD07F6"/>
    <w:rsid w:val="00FD1EC8"/>
    <w:rsid w:val="00FD47ED"/>
    <w:rsid w:val="00FD61E8"/>
    <w:rsid w:val="00FD74DB"/>
    <w:rsid w:val="00FD7660"/>
    <w:rsid w:val="00FE0655"/>
    <w:rsid w:val="00FE2365"/>
    <w:rsid w:val="00FE4C7B"/>
    <w:rsid w:val="00FE59D6"/>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1B119"/>
  <w15:docId w15:val="{A8790F36-277C-4F41-AEB3-75353677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0547">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2218165">
      <w:bodyDiv w:val="1"/>
      <w:marLeft w:val="0"/>
      <w:marRight w:val="0"/>
      <w:marTop w:val="0"/>
      <w:marBottom w:val="0"/>
      <w:divBdr>
        <w:top w:val="none" w:sz="0" w:space="0" w:color="auto"/>
        <w:left w:val="none" w:sz="0" w:space="0" w:color="auto"/>
        <w:bottom w:val="none" w:sz="0" w:space="0" w:color="auto"/>
        <w:right w:val="none" w:sz="0" w:space="0" w:color="auto"/>
      </w:divBdr>
    </w:div>
    <w:div w:id="463471977">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1884820">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B4493-5F73-4E6A-945E-6BE2A86C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38</TotalTime>
  <Pages>3</Pages>
  <Words>940</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13</cp:revision>
  <cp:lastPrinted>2008-01-31T07:09:00Z</cp:lastPrinted>
  <dcterms:created xsi:type="dcterms:W3CDTF">2016-09-23T12:46:00Z</dcterms:created>
  <dcterms:modified xsi:type="dcterms:W3CDTF">2016-09-30T18:43:00Z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